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6F9" w:rsidRPr="00D016F9" w:rsidRDefault="00D016F9" w:rsidP="00D016F9">
      <w:pPr>
        <w:spacing w:after="0" w:line="240" w:lineRule="auto"/>
        <w:rPr>
          <w:rFonts w:ascii="Times New Roman" w:eastAsia="Times New Roman" w:hAnsi="Times New Roman" w:cs="Times New Roman"/>
          <w:sz w:val="24"/>
          <w:szCs w:val="24"/>
          <w:lang w:eastAsia="ru-RU"/>
        </w:rPr>
      </w:pPr>
      <w:r w:rsidRPr="00D016F9">
        <w:rPr>
          <w:rFonts w:ascii="Times New Roman" w:eastAsia="Times New Roman" w:hAnsi="Times New Roman" w:cs="Times New Roman"/>
          <w:sz w:val="24"/>
          <w:szCs w:val="24"/>
          <w:lang w:eastAsia="ru-RU"/>
        </w:rPr>
        <w:t xml:space="preserve">&lt; </w:t>
      </w:r>
    </w:p>
    <w:p w:rsidR="00D016F9" w:rsidRPr="00D016F9" w:rsidRDefault="00D016F9" w:rsidP="00D016F9">
      <w:pPr>
        <w:spacing w:after="0" w:line="240" w:lineRule="auto"/>
        <w:rPr>
          <w:rFonts w:ascii="Times New Roman" w:eastAsia="Times New Roman" w:hAnsi="Times New Roman" w:cs="Times New Roman"/>
          <w:sz w:val="24"/>
          <w:szCs w:val="24"/>
          <w:lang w:eastAsia="ru-RU"/>
        </w:rPr>
      </w:pPr>
      <w:r w:rsidRPr="00D016F9">
        <w:rPr>
          <w:rFonts w:ascii="Times New Roman" w:eastAsia="Times New Roman" w:hAnsi="Times New Roman" w:cs="Times New Roman"/>
          <w:sz w:val="24"/>
          <w:szCs w:val="24"/>
          <w:lang w:eastAsia="ru-RU"/>
        </w:rPr>
        <w:t>&lt;</w:t>
      </w:r>
    </w:p>
    <w:p w:rsidR="00D016F9" w:rsidRPr="00D016F9" w:rsidRDefault="00D016F9" w:rsidP="00D01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9825" cy="838200"/>
            <wp:effectExtent l="19050" t="0" r="9525" b="0"/>
            <wp:docPr id="1" name="Рисунок 1" descr="d:\moldlex\DataLex\Legi_Rom\LP\A0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05\gparlament.gif"/>
                    <pic:cNvPicPr>
                      <a:picLocks noChangeAspect="1" noChangeArrowheads="1"/>
                    </pic:cNvPicPr>
                  </pic:nvPicPr>
                  <pic:blipFill>
                    <a:blip r:embed="rId4" cstate="print"/>
                    <a:srcRect/>
                    <a:stretch>
                      <a:fillRect/>
                    </a:stretch>
                  </pic:blipFill>
                  <pic:spPr bwMode="auto">
                    <a:xfrm>
                      <a:off x="0" y="0"/>
                      <a:ext cx="6219825" cy="838200"/>
                    </a:xfrm>
                    <a:prstGeom prst="rect">
                      <a:avLst/>
                    </a:prstGeom>
                    <a:noFill/>
                    <a:ln w="9525">
                      <a:noFill/>
                      <a:miter lim="800000"/>
                      <a:headEnd/>
                      <a:tailEnd/>
                    </a:ln>
                  </pic:spPr>
                </pic:pic>
              </a:graphicData>
            </a:graphic>
          </wp:inline>
        </w:drawing>
      </w:r>
    </w:p>
    <w:p w:rsidR="00D016F9" w:rsidRPr="00D016F9" w:rsidRDefault="00D016F9" w:rsidP="00D016F9">
      <w:pPr>
        <w:spacing w:after="0" w:line="240" w:lineRule="auto"/>
        <w:jc w:val="center"/>
        <w:rPr>
          <w:rFonts w:ascii="Times New Roman" w:eastAsia="Times New Roman" w:hAnsi="Times New Roman" w:cs="Times New Roman"/>
          <w:b/>
          <w:bCs/>
          <w:sz w:val="24"/>
          <w:szCs w:val="24"/>
          <w:lang w:val="en-US" w:eastAsia="ru-RU"/>
        </w:rPr>
      </w:pPr>
      <w:r w:rsidRPr="00D016F9">
        <w:rPr>
          <w:rFonts w:ascii="Times New Roman" w:eastAsia="Times New Roman" w:hAnsi="Times New Roman" w:cs="Times New Roman"/>
          <w:b/>
          <w:bCs/>
          <w:sz w:val="24"/>
          <w:szCs w:val="24"/>
          <w:lang w:val="en-US" w:eastAsia="ru-RU"/>
        </w:rPr>
        <w:t xml:space="preserve">L E G E </w:t>
      </w:r>
    </w:p>
    <w:p w:rsidR="00D016F9" w:rsidRPr="00D016F9" w:rsidRDefault="00D016F9" w:rsidP="00D016F9">
      <w:pPr>
        <w:spacing w:after="0" w:line="240" w:lineRule="auto"/>
        <w:jc w:val="center"/>
        <w:rPr>
          <w:rFonts w:ascii="Times New Roman" w:eastAsia="Times New Roman" w:hAnsi="Times New Roman" w:cs="Times New Roman"/>
          <w:b/>
          <w:bCs/>
          <w:sz w:val="24"/>
          <w:szCs w:val="24"/>
          <w:lang w:val="en-US" w:eastAsia="ru-RU"/>
        </w:rPr>
      </w:pPr>
      <w:r w:rsidRPr="00D016F9">
        <w:rPr>
          <w:rFonts w:ascii="Times New Roman" w:eastAsia="Times New Roman" w:hAnsi="Times New Roman" w:cs="Times New Roman"/>
          <w:b/>
          <w:bCs/>
          <w:sz w:val="24"/>
          <w:szCs w:val="24"/>
          <w:lang w:val="en-US" w:eastAsia="ru-RU"/>
        </w:rPr>
        <w:t xml:space="preserve">privind aprobarea Nomenclatorului domeniilor de formare profesională </w:t>
      </w:r>
    </w:p>
    <w:p w:rsidR="00D016F9" w:rsidRPr="00D016F9" w:rsidRDefault="00D016F9" w:rsidP="00D016F9">
      <w:pPr>
        <w:spacing w:after="0" w:line="240" w:lineRule="auto"/>
        <w:jc w:val="center"/>
        <w:rPr>
          <w:rFonts w:ascii="Times New Roman" w:eastAsia="Times New Roman" w:hAnsi="Times New Roman" w:cs="Times New Roman"/>
          <w:b/>
          <w:bCs/>
          <w:sz w:val="24"/>
          <w:szCs w:val="24"/>
          <w:lang w:val="en-US" w:eastAsia="ru-RU"/>
        </w:rPr>
      </w:pPr>
      <w:r w:rsidRPr="00D016F9">
        <w:rPr>
          <w:rFonts w:ascii="Times New Roman" w:eastAsia="Times New Roman" w:hAnsi="Times New Roman" w:cs="Times New Roman"/>
          <w:b/>
          <w:bCs/>
          <w:sz w:val="24"/>
          <w:szCs w:val="24"/>
          <w:lang w:val="en-US" w:eastAsia="ru-RU"/>
        </w:rPr>
        <w:t xml:space="preserve">şi al specialităţilor pentru pregătirea cadrelor în instituţiile </w:t>
      </w:r>
    </w:p>
    <w:p w:rsidR="00D016F9" w:rsidRPr="00D016F9" w:rsidRDefault="00D016F9" w:rsidP="00D016F9">
      <w:pPr>
        <w:spacing w:after="0" w:line="240" w:lineRule="auto"/>
        <w:jc w:val="center"/>
        <w:rPr>
          <w:rFonts w:ascii="Times New Roman" w:eastAsia="Times New Roman" w:hAnsi="Times New Roman" w:cs="Times New Roman"/>
          <w:b/>
          <w:bCs/>
          <w:sz w:val="24"/>
          <w:szCs w:val="24"/>
          <w:lang w:val="en-US" w:eastAsia="ru-RU"/>
        </w:rPr>
      </w:pPr>
      <w:r w:rsidRPr="00D016F9">
        <w:rPr>
          <w:rFonts w:ascii="Times New Roman" w:eastAsia="Times New Roman" w:hAnsi="Times New Roman" w:cs="Times New Roman"/>
          <w:b/>
          <w:bCs/>
          <w:sz w:val="24"/>
          <w:szCs w:val="24"/>
          <w:lang w:val="en-US" w:eastAsia="ru-RU"/>
        </w:rPr>
        <w:t xml:space="preserve">de învăţămînt superior, ciclul I </w:t>
      </w:r>
    </w:p>
    <w:p w:rsidR="00D016F9" w:rsidRPr="00D016F9" w:rsidRDefault="00D016F9" w:rsidP="00D016F9">
      <w:pPr>
        <w:spacing w:after="0" w:line="240" w:lineRule="auto"/>
        <w:jc w:val="center"/>
        <w:rPr>
          <w:rFonts w:ascii="Times New Roman" w:eastAsia="Times New Roman" w:hAnsi="Times New Roman" w:cs="Times New Roman"/>
          <w:b/>
          <w:bCs/>
          <w:sz w:val="24"/>
          <w:szCs w:val="24"/>
          <w:lang w:val="en-US" w:eastAsia="ru-RU"/>
        </w:rPr>
      </w:pPr>
      <w:r w:rsidRPr="00D016F9">
        <w:rPr>
          <w:rFonts w:ascii="Times New Roman" w:eastAsia="Times New Roman" w:hAnsi="Times New Roman" w:cs="Times New Roman"/>
          <w:b/>
          <w:bCs/>
          <w:sz w:val="24"/>
          <w:szCs w:val="24"/>
          <w:lang w:val="en-US" w:eastAsia="ru-RU"/>
        </w:rPr>
        <w:t xml:space="preserve">  </w:t>
      </w:r>
    </w:p>
    <w:p w:rsidR="00D016F9" w:rsidRPr="00D016F9" w:rsidRDefault="00D016F9" w:rsidP="00D016F9">
      <w:pPr>
        <w:spacing w:after="0" w:line="240" w:lineRule="auto"/>
        <w:jc w:val="center"/>
        <w:rPr>
          <w:rFonts w:ascii="Times New Roman" w:eastAsia="Times New Roman" w:hAnsi="Times New Roman" w:cs="Times New Roman"/>
          <w:b/>
          <w:bCs/>
          <w:sz w:val="24"/>
          <w:szCs w:val="24"/>
          <w:lang w:val="en-US" w:eastAsia="ru-RU"/>
        </w:rPr>
      </w:pPr>
      <w:r w:rsidRPr="00D016F9">
        <w:rPr>
          <w:rFonts w:ascii="Times New Roman" w:eastAsia="Times New Roman" w:hAnsi="Times New Roman" w:cs="Times New Roman"/>
          <w:b/>
          <w:bCs/>
          <w:sz w:val="24"/>
          <w:szCs w:val="24"/>
          <w:lang w:val="en-US" w:eastAsia="ru-RU"/>
        </w:rPr>
        <w:t xml:space="preserve">  nr. 142-XVI  din  07.07.2005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  </w:t>
      </w:r>
    </w:p>
    <w:p w:rsidR="00D016F9" w:rsidRPr="00D016F9" w:rsidRDefault="00D016F9" w:rsidP="00D016F9">
      <w:pPr>
        <w:spacing w:after="0" w:line="240" w:lineRule="auto"/>
        <w:jc w:val="center"/>
        <w:rPr>
          <w:rFonts w:ascii="Times New Roman" w:eastAsia="Times New Roman" w:hAnsi="Times New Roman" w:cs="Times New Roman"/>
          <w:i/>
          <w:iCs/>
          <w:color w:val="663300"/>
          <w:sz w:val="20"/>
          <w:szCs w:val="20"/>
          <w:lang w:val="en-US" w:eastAsia="ru-RU"/>
        </w:rPr>
      </w:pPr>
      <w:r w:rsidRPr="00D016F9">
        <w:rPr>
          <w:rFonts w:ascii="Times New Roman" w:eastAsia="Times New Roman" w:hAnsi="Times New Roman" w:cs="Times New Roman"/>
          <w:i/>
          <w:iCs/>
          <w:color w:val="663300"/>
          <w:sz w:val="20"/>
          <w:szCs w:val="20"/>
          <w:lang w:val="en-US" w:eastAsia="ru-RU"/>
        </w:rPr>
        <w:t xml:space="preserve">Monitorul Oficial al R.Moldova nr.101-103/476 din 29.07.2005 </w:t>
      </w:r>
    </w:p>
    <w:p w:rsidR="00D016F9" w:rsidRPr="00D016F9" w:rsidRDefault="00D016F9" w:rsidP="00D016F9">
      <w:pPr>
        <w:spacing w:after="0" w:line="240" w:lineRule="auto"/>
        <w:jc w:val="center"/>
        <w:rPr>
          <w:rFonts w:ascii="Times New Roman" w:eastAsia="Times New Roman" w:hAnsi="Times New Roman" w:cs="Times New Roman"/>
          <w:i/>
          <w:iCs/>
          <w:color w:val="663300"/>
          <w:sz w:val="20"/>
          <w:szCs w:val="20"/>
          <w:lang w:val="en-US" w:eastAsia="ru-RU"/>
        </w:rPr>
      </w:pPr>
      <w:r w:rsidRPr="00D016F9">
        <w:rPr>
          <w:rFonts w:ascii="Times New Roman" w:eastAsia="Times New Roman" w:hAnsi="Times New Roman" w:cs="Times New Roman"/>
          <w:i/>
          <w:iCs/>
          <w:color w:val="663300"/>
          <w:sz w:val="20"/>
          <w:szCs w:val="20"/>
          <w:lang w:val="en-US" w:eastAsia="ru-RU"/>
        </w:rPr>
        <w:t xml:space="preserve">  </w:t>
      </w:r>
    </w:p>
    <w:p w:rsidR="00D016F9" w:rsidRPr="00D016F9" w:rsidRDefault="00D016F9" w:rsidP="00D016F9">
      <w:pPr>
        <w:spacing w:after="0" w:line="240" w:lineRule="auto"/>
        <w:jc w:val="center"/>
        <w:rPr>
          <w:rFonts w:ascii="Times New Roman" w:eastAsia="Times New Roman" w:hAnsi="Times New Roman" w:cs="Times New Roman"/>
          <w:b/>
          <w:bCs/>
          <w:sz w:val="24"/>
          <w:szCs w:val="24"/>
          <w:lang w:val="en-US" w:eastAsia="ru-RU"/>
        </w:rPr>
      </w:pPr>
      <w:r w:rsidRPr="00D016F9">
        <w:rPr>
          <w:rFonts w:ascii="Times New Roman" w:eastAsia="Times New Roman" w:hAnsi="Times New Roman" w:cs="Times New Roman"/>
          <w:b/>
          <w:bCs/>
          <w:sz w:val="24"/>
          <w:szCs w:val="24"/>
          <w:lang w:val="en-US" w:eastAsia="ru-RU"/>
        </w:rPr>
        <w:t xml:space="preserve">* * *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Parlamentul adoptă prezenta lege organică.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b/>
          <w:bCs/>
          <w:sz w:val="24"/>
          <w:szCs w:val="24"/>
          <w:lang w:val="en-US" w:eastAsia="ru-RU"/>
        </w:rPr>
        <w:t>Art.1.</w:t>
      </w:r>
      <w:r w:rsidRPr="00D016F9">
        <w:rPr>
          <w:rFonts w:ascii="Times New Roman" w:eastAsia="Times New Roman" w:hAnsi="Times New Roman" w:cs="Times New Roman"/>
          <w:sz w:val="24"/>
          <w:szCs w:val="24"/>
          <w:lang w:val="en-US" w:eastAsia="ru-RU"/>
        </w:rPr>
        <w:t xml:space="preserve"> – Se aprobă Nomenclatorul domeniilor de formare profesională şi al specialităţilor pentru pregătirea cadrelor în instituţiile de învăţămînt superior, ciclul I, expus în anexele nr.1 şi nr.2, părţi integrante ale prezentei legi.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bookmarkStart w:id="0" w:name="Art.2."/>
      <w:r w:rsidRPr="00D016F9">
        <w:rPr>
          <w:rFonts w:ascii="Times New Roman" w:eastAsia="Times New Roman" w:hAnsi="Times New Roman" w:cs="Times New Roman"/>
          <w:b/>
          <w:bCs/>
          <w:sz w:val="24"/>
          <w:szCs w:val="24"/>
          <w:lang w:val="en-US" w:eastAsia="ru-RU"/>
        </w:rPr>
        <w:t>Art.2.</w:t>
      </w:r>
      <w:bookmarkEnd w:id="0"/>
      <w:r w:rsidRPr="00D016F9">
        <w:rPr>
          <w:rFonts w:ascii="Times New Roman" w:eastAsia="Times New Roman" w:hAnsi="Times New Roman" w:cs="Times New Roman"/>
          <w:sz w:val="24"/>
          <w:szCs w:val="24"/>
          <w:lang w:val="en-US" w:eastAsia="ru-RU"/>
        </w:rPr>
        <w:t xml:space="preserve"> – Studiile superioare de licenţă se organizează pe domenii de formare profesională (specialităţi) în conformitate cu Nomenclatorul nominalizat, cu excepţia domeniilor reglementate în Uniunea Europeană prin norme speciale.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bookmarkStart w:id="1" w:name="Art.3."/>
      <w:r w:rsidRPr="00D016F9">
        <w:rPr>
          <w:rFonts w:ascii="Times New Roman" w:eastAsia="Times New Roman" w:hAnsi="Times New Roman" w:cs="Times New Roman"/>
          <w:b/>
          <w:bCs/>
          <w:sz w:val="24"/>
          <w:szCs w:val="24"/>
          <w:lang w:val="en-US" w:eastAsia="ru-RU"/>
        </w:rPr>
        <w:t>Art.3.</w:t>
      </w:r>
      <w:bookmarkEnd w:id="1"/>
      <w:r w:rsidRPr="00D016F9">
        <w:rPr>
          <w:rFonts w:ascii="Times New Roman" w:eastAsia="Times New Roman" w:hAnsi="Times New Roman" w:cs="Times New Roman"/>
          <w:sz w:val="24"/>
          <w:szCs w:val="24"/>
          <w:lang w:val="en-US" w:eastAsia="ru-RU"/>
        </w:rPr>
        <w:t xml:space="preserve"> – Guvernul: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va întreprinde măsurile necesare în vederea aplicării Nomenclatorului nominalizat, parte componentă a standardelor de stat în domeniul pregătirii cadrelor, în instituţiile de învăţămînt superior de stat şi private, începînd cu anul de studii 2005-2006, pentru studenţii admişi la anul I;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va asigura, exclusiv în instituţiile de învăţămînt de stat, pregătirea cadrelor la domeniile de formare profesională "Administraţie publică", "Medicină", "Farmacie", "Militărie" şi cele ce ţin de menţinerea ordinii publice şi securitatea statului;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va stabili modul de coordonare a cotei de pregătire a cadrelor în instituţiile de învăţămînt superior private şi în cele de stat pe bază de contract, cu achitarea taxei de studii.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bookmarkStart w:id="2" w:name="Art.4."/>
      <w:r w:rsidRPr="00D016F9">
        <w:rPr>
          <w:rFonts w:ascii="Times New Roman" w:eastAsia="Times New Roman" w:hAnsi="Times New Roman" w:cs="Times New Roman"/>
          <w:b/>
          <w:bCs/>
          <w:sz w:val="24"/>
          <w:szCs w:val="24"/>
          <w:lang w:val="en-US" w:eastAsia="ru-RU"/>
        </w:rPr>
        <w:t>Art.4.</w:t>
      </w:r>
      <w:bookmarkEnd w:id="2"/>
      <w:r w:rsidRPr="00D016F9">
        <w:rPr>
          <w:rFonts w:ascii="Times New Roman" w:eastAsia="Times New Roman" w:hAnsi="Times New Roman" w:cs="Times New Roman"/>
          <w:sz w:val="24"/>
          <w:szCs w:val="24"/>
          <w:lang w:val="en-US" w:eastAsia="ru-RU"/>
        </w:rPr>
        <w:t xml:space="preserve"> – Nomenclatorul specialităţilor pentru pregătirea cadrelor în instituţiile de învăţămînt superior şi mediu de specialitate, aprobat prin </w:t>
      </w:r>
      <w:hyperlink r:id="rId5" w:history="1">
        <w:r w:rsidRPr="00D016F9">
          <w:rPr>
            <w:rFonts w:ascii="Times New Roman" w:eastAsia="Times New Roman" w:hAnsi="Times New Roman" w:cs="Times New Roman"/>
            <w:color w:val="0000FF"/>
            <w:sz w:val="24"/>
            <w:szCs w:val="24"/>
            <w:u w:val="single"/>
            <w:lang w:val="en-US" w:eastAsia="ru-RU"/>
          </w:rPr>
          <w:t>Legea nr.1070-XIV din 22 iunie 2000</w:t>
        </w:r>
      </w:hyperlink>
      <w:r w:rsidRPr="00D016F9">
        <w:rPr>
          <w:rFonts w:ascii="Times New Roman" w:eastAsia="Times New Roman" w:hAnsi="Times New Roman" w:cs="Times New Roman"/>
          <w:sz w:val="24"/>
          <w:szCs w:val="24"/>
          <w:lang w:val="en-US" w:eastAsia="ru-RU"/>
        </w:rPr>
        <w:t xml:space="preserve">, rămîne în vigoare pentru instituţiile de învăţămînt mediu de specialitate, precum şi pentru studenţii instituţiilor de învăţămînt superior admişi la studii pînă în anul 2004-2005, care îşi vor finaliza studiile în conformitate cu prevederile acestui nomenclator.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bookmarkStart w:id="3" w:name="Art.5."/>
      <w:r w:rsidRPr="00D016F9">
        <w:rPr>
          <w:rFonts w:ascii="Times New Roman" w:eastAsia="Times New Roman" w:hAnsi="Times New Roman" w:cs="Times New Roman"/>
          <w:b/>
          <w:bCs/>
          <w:sz w:val="24"/>
          <w:szCs w:val="24"/>
          <w:lang w:val="en-US" w:eastAsia="ru-RU"/>
        </w:rPr>
        <w:t>Art.5.</w:t>
      </w:r>
      <w:bookmarkEnd w:id="3"/>
      <w:r w:rsidRPr="00D016F9">
        <w:rPr>
          <w:rFonts w:ascii="Times New Roman" w:eastAsia="Times New Roman" w:hAnsi="Times New Roman" w:cs="Times New Roman"/>
          <w:sz w:val="24"/>
          <w:szCs w:val="24"/>
          <w:lang w:val="en-US" w:eastAsia="ru-RU"/>
        </w:rPr>
        <w:t xml:space="preserve"> – Prezenta lege se pune în aplicare de la data adoptării.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val="en-US" w:eastAsia="ru-RU"/>
        </w:rPr>
      </w:pPr>
      <w:r w:rsidRPr="00D016F9">
        <w:rPr>
          <w:rFonts w:ascii="Times New Roman" w:eastAsia="Times New Roman" w:hAnsi="Times New Roman" w:cs="Times New Roman"/>
          <w:sz w:val="24"/>
          <w:szCs w:val="24"/>
          <w:lang w:val="en-US" w:eastAsia="ru-RU"/>
        </w:rPr>
        <w:t xml:space="preserve">  </w:t>
      </w:r>
    </w:p>
    <w:tbl>
      <w:tblPr>
        <w:tblW w:w="7500" w:type="dxa"/>
        <w:tblInd w:w="567" w:type="dxa"/>
        <w:tblCellMar>
          <w:top w:w="15" w:type="dxa"/>
          <w:left w:w="15" w:type="dxa"/>
          <w:bottom w:w="15" w:type="dxa"/>
          <w:right w:w="15" w:type="dxa"/>
        </w:tblCellMar>
        <w:tblLook w:val="04A0"/>
      </w:tblPr>
      <w:tblGrid>
        <w:gridCol w:w="5425"/>
        <w:gridCol w:w="2075"/>
      </w:tblGrid>
      <w:tr w:rsidR="00D016F9" w:rsidRPr="00D016F9" w:rsidTr="00D016F9">
        <w:tc>
          <w:tcPr>
            <w:tcW w:w="0" w:type="auto"/>
            <w:tcBorders>
              <w:top w:val="nil"/>
              <w:left w:val="nil"/>
              <w:bottom w:val="nil"/>
              <w:right w:val="nil"/>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Marian LUPU</w:t>
            </w:r>
          </w:p>
        </w:tc>
      </w:tr>
      <w:tr w:rsidR="00D016F9" w:rsidRPr="00D016F9" w:rsidTr="00D016F9">
        <w:tc>
          <w:tcPr>
            <w:tcW w:w="0" w:type="auto"/>
            <w:tcBorders>
              <w:top w:val="nil"/>
              <w:left w:val="nil"/>
              <w:bottom w:val="nil"/>
              <w:right w:val="nil"/>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br/>
              <w:t xml:space="preserve">Chişinău, 7 iulie 2005. </w:t>
            </w:r>
          </w:p>
        </w:tc>
        <w:tc>
          <w:tcPr>
            <w:tcW w:w="0" w:type="auto"/>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c>
          <w:tcPr>
            <w:tcW w:w="0" w:type="auto"/>
            <w:tcBorders>
              <w:top w:val="nil"/>
              <w:left w:val="nil"/>
              <w:bottom w:val="nil"/>
              <w:right w:val="nil"/>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 xml:space="preserve">Nr.142-XVI. </w:t>
            </w:r>
          </w:p>
        </w:tc>
        <w:tc>
          <w:tcPr>
            <w:tcW w:w="0" w:type="auto"/>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bl>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eastAsia="ru-RU"/>
        </w:rPr>
      </w:pPr>
      <w:r w:rsidRPr="00D016F9">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602"/>
        <w:gridCol w:w="1431"/>
        <w:gridCol w:w="1586"/>
        <w:gridCol w:w="1930"/>
        <w:gridCol w:w="1007"/>
      </w:tblGrid>
      <w:tr w:rsidR="00D016F9" w:rsidRPr="00D016F9" w:rsidTr="00D016F9">
        <w:trPr>
          <w:jc w:val="center"/>
        </w:trPr>
        <w:tc>
          <w:tcPr>
            <w:tcW w:w="0" w:type="auto"/>
            <w:gridSpan w:val="5"/>
            <w:tcBorders>
              <w:top w:val="nil"/>
              <w:left w:val="nil"/>
              <w:bottom w:val="single" w:sz="6" w:space="0" w:color="000000"/>
              <w:right w:val="nil"/>
            </w:tcBorders>
            <w:tcMar>
              <w:top w:w="15" w:type="dxa"/>
              <w:left w:w="45" w:type="dxa"/>
              <w:bottom w:w="15" w:type="dxa"/>
              <w:right w:w="45" w:type="dxa"/>
            </w:tcMar>
            <w:hideMark/>
          </w:tcPr>
          <w:p w:rsidR="00D016F9" w:rsidRPr="00D016F9" w:rsidRDefault="00D016F9" w:rsidP="00D016F9">
            <w:pPr>
              <w:spacing w:after="0" w:line="240" w:lineRule="auto"/>
              <w:jc w:val="right"/>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Anexa nr.1</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 </w:t>
            </w:r>
          </w:p>
          <w:p w:rsidR="00D016F9" w:rsidRPr="00D016F9" w:rsidRDefault="00D016F9" w:rsidP="00D016F9">
            <w:pPr>
              <w:spacing w:after="0" w:line="240" w:lineRule="auto"/>
              <w:jc w:val="center"/>
              <w:rPr>
                <w:rFonts w:ascii="Times New Roman" w:eastAsia="Times New Roman" w:hAnsi="Times New Roman" w:cs="Times New Roman"/>
                <w:b/>
                <w:bCs/>
                <w:sz w:val="20"/>
                <w:szCs w:val="20"/>
                <w:lang w:val="en-US" w:eastAsia="ru-RU"/>
              </w:rPr>
            </w:pPr>
            <w:r w:rsidRPr="00D016F9">
              <w:rPr>
                <w:rFonts w:ascii="Times New Roman" w:eastAsia="Times New Roman" w:hAnsi="Times New Roman" w:cs="Times New Roman"/>
                <w:b/>
                <w:bCs/>
                <w:sz w:val="20"/>
                <w:szCs w:val="20"/>
                <w:lang w:val="en-US" w:eastAsia="ru-RU"/>
              </w:rPr>
              <w:t xml:space="preserve">Nomenclatorul domeniilor de formare profesională şi al specialităţilor pentru </w:t>
            </w:r>
          </w:p>
          <w:p w:rsidR="00D016F9" w:rsidRPr="00D016F9" w:rsidRDefault="00D016F9" w:rsidP="00D016F9">
            <w:pPr>
              <w:spacing w:after="0" w:line="240" w:lineRule="auto"/>
              <w:jc w:val="center"/>
              <w:rPr>
                <w:rFonts w:ascii="Times New Roman" w:eastAsia="Times New Roman" w:hAnsi="Times New Roman" w:cs="Times New Roman"/>
                <w:b/>
                <w:bCs/>
                <w:sz w:val="20"/>
                <w:szCs w:val="20"/>
                <w:lang w:val="en-US" w:eastAsia="ru-RU"/>
              </w:rPr>
            </w:pPr>
            <w:r w:rsidRPr="00D016F9">
              <w:rPr>
                <w:rFonts w:ascii="Times New Roman" w:eastAsia="Times New Roman" w:hAnsi="Times New Roman" w:cs="Times New Roman"/>
                <w:b/>
                <w:bCs/>
                <w:sz w:val="20"/>
                <w:szCs w:val="20"/>
                <w:lang w:val="en-US" w:eastAsia="ru-RU"/>
              </w:rPr>
              <w:t>pregătirea cadrelor în instituţiile de învăţămînt superior, ciclul I</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lastRenderedPageBreak/>
              <w:t> </w:t>
            </w:r>
          </w:p>
        </w:tc>
      </w:tr>
      <w:tr w:rsidR="00D016F9" w:rsidRPr="00D016F9" w:rsidTr="00D016F9">
        <w:trPr>
          <w:trHeight w:val="1065"/>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val="en-US" w:eastAsia="ru-RU"/>
              </w:rPr>
            </w:pPr>
            <w:r w:rsidRPr="00D016F9">
              <w:rPr>
                <w:rFonts w:ascii="Times New Roman" w:eastAsia="Times New Roman" w:hAnsi="Times New Roman" w:cs="Times New Roman"/>
                <w:b/>
                <w:bCs/>
                <w:sz w:val="20"/>
                <w:szCs w:val="20"/>
                <w:lang w:val="en-US" w:eastAsia="ru-RU"/>
              </w:rPr>
              <w:lastRenderedPageBreak/>
              <w:t>Codul* şi denumirea domeniului fundamental al ştiinţei, culturii şi tehnicii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val="en-US" w:eastAsia="ru-RU"/>
              </w:rPr>
            </w:pPr>
            <w:r w:rsidRPr="00D016F9">
              <w:rPr>
                <w:rFonts w:ascii="Times New Roman" w:eastAsia="Times New Roman" w:hAnsi="Times New Roman" w:cs="Times New Roman"/>
                <w:b/>
                <w:bCs/>
                <w:sz w:val="20"/>
                <w:szCs w:val="20"/>
                <w:lang w:val="en-US" w:eastAsia="ru-RU"/>
              </w:rPr>
              <w:t>Codul şi denumirea domeniului general de studiu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val="en-US" w:eastAsia="ru-RU"/>
              </w:rPr>
            </w:pPr>
            <w:r w:rsidRPr="00D016F9">
              <w:rPr>
                <w:rFonts w:ascii="Times New Roman" w:eastAsia="Times New Roman" w:hAnsi="Times New Roman" w:cs="Times New Roman"/>
                <w:b/>
                <w:bCs/>
                <w:sz w:val="20"/>
                <w:szCs w:val="20"/>
                <w:lang w:val="en-US" w:eastAsia="ru-RU"/>
              </w:rPr>
              <w:t xml:space="preserve">Codul şi denumirea domeniului de </w:t>
            </w:r>
            <w:r w:rsidRPr="00D016F9">
              <w:rPr>
                <w:rFonts w:ascii="Times New Roman" w:eastAsia="Times New Roman" w:hAnsi="Times New Roman" w:cs="Times New Roman"/>
                <w:b/>
                <w:bCs/>
                <w:sz w:val="20"/>
                <w:szCs w:val="20"/>
                <w:lang w:val="en-US" w:eastAsia="ru-RU"/>
              </w:rPr>
              <w:br/>
              <w:t xml:space="preserve">formare profesională la ciclul I </w:t>
            </w:r>
            <w:r w:rsidRPr="00D016F9">
              <w:rPr>
                <w:rFonts w:ascii="Times New Roman" w:eastAsia="Times New Roman" w:hAnsi="Times New Roman" w:cs="Times New Roman"/>
                <w:b/>
                <w:bCs/>
                <w:sz w:val="20"/>
                <w:szCs w:val="20"/>
                <w:lang w:val="en-US" w:eastAsia="ru-RU"/>
              </w:rPr>
              <w:br/>
              <w:t>(studii superioare de licenţă)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val="en-US" w:eastAsia="ru-RU"/>
              </w:rPr>
            </w:pPr>
            <w:r w:rsidRPr="00D016F9">
              <w:rPr>
                <w:rFonts w:ascii="Times New Roman" w:eastAsia="Times New Roman" w:hAnsi="Times New Roman" w:cs="Times New Roman"/>
                <w:b/>
                <w:bCs/>
                <w:sz w:val="20"/>
                <w:szCs w:val="20"/>
                <w:lang w:val="en-US" w:eastAsia="ru-RU"/>
              </w:rPr>
              <w:t xml:space="preserve">Codul şi denumirea specialităţii </w:t>
            </w:r>
            <w:r w:rsidRPr="00D016F9">
              <w:rPr>
                <w:rFonts w:ascii="Times New Roman" w:eastAsia="Times New Roman" w:hAnsi="Times New Roman" w:cs="Times New Roman"/>
                <w:b/>
                <w:bCs/>
                <w:sz w:val="20"/>
                <w:szCs w:val="20"/>
                <w:lang w:val="en-US" w:eastAsia="ru-RU"/>
              </w:rPr>
              <w:br/>
              <w:t>(programe de studiu)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Numărul creditelor de studiu</w:t>
            </w:r>
          </w:p>
        </w:tc>
      </w:tr>
      <w:tr w:rsidR="00D016F9" w:rsidRPr="00D016F9" w:rsidTr="00D016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5</w:t>
            </w: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 EDUCAŢIE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14 Ştiinţe ale educaţiei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141 Educaţie şi formarea profesorilor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141.01 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141.02 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141.03 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141.04 Astronomie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141.05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141.06 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141.07 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141.08 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141.09 Limbi moderne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141.10 Istorie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141.11 Muzică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141.12 Arte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141.13 Educaţie 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141.14 Educaţie tehnologică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141.15 Educaţie civică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141.16 Dans (dans clasic, dans sportiv, dans modern, dans popular)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142 Ştiinţe ale educaţiei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142.01 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142.02 Pedagogie preşcolară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142.03 Pedagogie în învăţămîntul primar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142.04 Psihopedagogie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142.05 Psihopedagogie specială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142.06 Pedagogie profesională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142.07 Pedagogie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 ŞTIINŢE UMANITARE ŞI ARTE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21 Arte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211 Arte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211.1 Pictură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211.2 Grafică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211.3 Sculptură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211.4 Istoria şi teoria artelor plastice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 xml:space="preserve">212 Muzică şi arte </w:t>
            </w:r>
            <w:r w:rsidRPr="00D016F9">
              <w:rPr>
                <w:rFonts w:ascii="Times New Roman" w:eastAsia="Times New Roman" w:hAnsi="Times New Roman" w:cs="Times New Roman"/>
                <w:b/>
                <w:bCs/>
                <w:sz w:val="20"/>
                <w:szCs w:val="20"/>
                <w:lang w:eastAsia="ru-RU"/>
              </w:rPr>
              <w:lastRenderedPageBreak/>
              <w:t xml:space="preserve">interpretative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lastRenderedPageBreak/>
              <w:t xml:space="preserve">212.1 Interpretare instrumentală (pian </w:t>
            </w:r>
            <w:r w:rsidRPr="00D016F9">
              <w:rPr>
                <w:rFonts w:ascii="Times New Roman" w:eastAsia="Times New Roman" w:hAnsi="Times New Roman" w:cs="Times New Roman"/>
                <w:sz w:val="20"/>
                <w:szCs w:val="20"/>
                <w:lang w:val="en-US" w:eastAsia="ru-RU"/>
              </w:rPr>
              <w:lastRenderedPageBreak/>
              <w:t>special, instrumente orchestrale, instrumente populare, instrumente muzică uşoară şi jazz)</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lastRenderedPageBreak/>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212.2 Canto (canto academic, canto estradă şi jazz, canto popular)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212.3 Dirijare (dirijare corală, dirijare orchestrală)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212.4 Compoziţie (compoziţie muzică academică, compoziţie muzică uşoară)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212.5 Muzicologie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 xml:space="preserve">213 </w:t>
            </w:r>
            <w:r w:rsidRPr="00D016F9">
              <w:rPr>
                <w:rFonts w:ascii="Times New Roman" w:eastAsia="Times New Roman" w:hAnsi="Times New Roman" w:cs="Times New Roman"/>
                <w:sz w:val="20"/>
                <w:szCs w:val="20"/>
                <w:lang w:eastAsia="ru-RU"/>
              </w:rPr>
              <w:t>Arte audiovizuale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213.1 Regie film şi TV/Regie montaj film şi TV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213.2 Imagine film şi TV/Fotografie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213.3 Filmologie, producţie film şi TV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214 Design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214.1 Design vestimentar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214.2 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215 Arte decorative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215.1 Arte decorative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215.2 Restaurarea operelor de artă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216 Arte teatrale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216.1 Actorie (actorie teatru şi film, actorie teatru cu păpuşi şi marionete)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216.2 Teatrologie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216.3 Scenografie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216.4 Regie (regie estradă şi manifestări publice, regie teatru, regie circ)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216.5 Coregrafie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216.6 Dramaturgie şi scenaristică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val="en-US" w:eastAsia="ru-RU"/>
              </w:rPr>
            </w:pPr>
            <w:r w:rsidRPr="00D016F9">
              <w:rPr>
                <w:rFonts w:ascii="Times New Roman" w:eastAsia="Times New Roman" w:hAnsi="Times New Roman" w:cs="Times New Roman"/>
                <w:sz w:val="20"/>
                <w:szCs w:val="20"/>
                <w:lang w:val="en-US" w:eastAsia="ru-RU"/>
              </w:rPr>
              <w:t>216.7 Producţie culturală şi manifestări artistice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 Ştiinţe umanistice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221 Filozofie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221.1 Filozofie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222 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222.1 Limbi şi literaturi**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223 Limbi moderne şi clasice**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223.1 Limbi moderne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223.2 Limbi clasice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224 Istorie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224.1 Istorie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224.2 Arheologie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224.3 Muzeografie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224.4 Etnologie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224.5 Arhivistică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224.6 Managementul patrimoniului cultural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224.7 Studiul religiilor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224.8 Slavistică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225 Antropologie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225.1 Antropologie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226 Culturologie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226.1 Culturologie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227 Teologie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227.1 Teologie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 xml:space="preserve">3. ŞTIINŢE SOCIALE, ECONOMICE ŞI DREPT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31 Ştiinţe politice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311 Ştiinţe politice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311.1 Politologie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312 Relaţii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312.1 Relaţii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313 Administraţie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313.1 Administraţie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32 Ştiinţe sociale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321 Sociologie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321.1 Sociologie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322 Psihologie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322.1 Psihologie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33 Asistenţă socială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331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331.1 Asistenţă socială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34 Ştiinţe ale comunicării şi informării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341 Jurnalism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341.1 Jurnalism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342 Ştiinţe ale comunicării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342.2 Ştiinţe ale comunicării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343 Activitate editorială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343.3 Activitate editorială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344 Ştiinţe ale informării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344.1 Biblioteconomie, asistenţă informaţională şi arhivistică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344.2 Tehnologia comunicării în domeniul infodocumentar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344.3 Servicii informaţionale şi socioculturale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 Ştiinţe economice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361 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361.1 Contabilitate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362 Marketing şi logistică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xml:space="preserve">362.1 Marketing şi </w:t>
            </w:r>
            <w:r w:rsidRPr="00D016F9">
              <w:rPr>
                <w:rFonts w:ascii="Times New Roman" w:eastAsia="Times New Roman" w:hAnsi="Times New Roman" w:cs="Times New Roman"/>
                <w:sz w:val="20"/>
                <w:szCs w:val="20"/>
                <w:lang w:eastAsia="ru-RU"/>
              </w:rPr>
              <w:lastRenderedPageBreak/>
              <w:t>logistică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363 Business şi administrare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363.1 Business şi administrare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363.2 Achiziţii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363.3 Managementul proprietăţii intelectuale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363.4 Management artistic (managementul în domeniul culturii şi artelor)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xml:space="preserve">363.5 Managementul resurselor umane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364 Finanţe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364.1 Finanţe şi bănci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365 Economie mondială şi relaţii economice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365.1 Economie mondială şi relaţii economice internaţionale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366 Economie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366.1 Economie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367 Statistică şi previziune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367.1 Statistică şi previziune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368 Cibernetică şi informatică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368.1 Cibernetică şi informatică economică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369 Merceologie şi comerţ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369.1 Merceologie şi comerţ</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38 Drept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381 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381.1 Drept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381.2 Drept. Securitatea frontierei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 xml:space="preserve">4. ŞTIINŢE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42 Ştiinţe ale naturii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421 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421.1 Biologie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421.2 Biologie moleculară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421.3 Bioinginerie aplicată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422 Ştiinţele solului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422.1 Ştiinţele solului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423 Geologie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423.1 Geologie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424 Ecologie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424.1 Ecologie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425 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425.1 Geografie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426 Meteorologie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426.1 Meteorologie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44 Ştiinţe exacte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441 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441.1 Fizică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441.2 Astronomie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442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442.1 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442.2 Chimie biofarmaceutică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443 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443.1 Matematică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443.2 Matematică aplicată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443.3 Statistică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444 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444.1 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444.2 Management informaţional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444.3 Informatică aplicată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 xml:space="preserve">5. INGINERIE, TEHNOLOGII DE PRELUCRARE, ARHITECTURĂ ŞI CONSTRUCŢII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 Inginerie şi activităţi inginereşti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521 Inginerie şi tehnologii industriale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521.1 Tehnologia construcţiilor de maşini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521.2 Construcţii de echipamente şi maşini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521.3 Maşini şi sisteme de producţie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521.4 Ingineria sudării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521.5 Ingineria şi managementul zăcămintelor, minerit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521.6 Utilaje şi tehnologii de ambalare a produselor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521.7 Design industrial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521.8 Inginerie şi management (pe ramuri)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521.9 Inginerie inovaţională şi transfer tehnologic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522 Inginerie 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522.1 Maşini şi aparate în industria uşoară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522.2 Maşini şi aparate în industria alimentară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522.3 Maşini şi instalaţii frigorifice, sisteme de climatizare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522.4 Inginerie mecanică în construcţii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523 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523.1 Electroenergetică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xml:space="preserve">523.2 </w:t>
            </w:r>
            <w:r w:rsidRPr="00D016F9">
              <w:rPr>
                <w:rFonts w:ascii="Times New Roman" w:eastAsia="Times New Roman" w:hAnsi="Times New Roman" w:cs="Times New Roman"/>
                <w:sz w:val="20"/>
                <w:szCs w:val="20"/>
                <w:lang w:eastAsia="ru-RU"/>
              </w:rPr>
              <w:lastRenderedPageBreak/>
              <w:t>Termoenergetică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523.3 Energetică netradiţională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524 Inginerie electrică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524.1 Electromecanică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524.2 Electrificarea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525 Electronică şi 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525.1 Electronică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525.2 Sisteme optoelectronice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525.3 Teleradio 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525.4 Microelectronică şi nanotehnologii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526 Ingineria sistemelor şi calculatoarelor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526.1 Calculatoare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526.2 Tehnologii informaţionale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526.3 Automatică şi informatică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526.4 Ingineria sistemelor biomedicale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526.5 Securitate informaţională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527 Ingineria şi tehnologia transporturilor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527.1 Ingineria şi tehnologia transportului auto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527.2 Ingineria şi tehnologia transportului feroviar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527.3 Ingineria şi tehnologia transportului naval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528 Inginerie agrară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528.1 Mecanizarea agriculturii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529 Ingineria şi managementul calităţii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529.1 Ingineria şi managementul calităţii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53 Industria petrolului şi gazelor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531 Ingineria petrolului şi gazelor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531.1 Geologie petrolieră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531.2 Forajul şi exploatarea sondelor de petrol şi gaze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531.3 Utilaj pentru petrol şi gaze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xml:space="preserve">531.4 Procese tehnologice de prelucrare a petrolului, petrochimie şi </w:t>
            </w:r>
            <w:r w:rsidRPr="00D016F9">
              <w:rPr>
                <w:rFonts w:ascii="Times New Roman" w:eastAsia="Times New Roman" w:hAnsi="Times New Roman" w:cs="Times New Roman"/>
                <w:sz w:val="20"/>
                <w:szCs w:val="20"/>
                <w:lang w:eastAsia="ru-RU"/>
              </w:rPr>
              <w:lastRenderedPageBreak/>
              <w:t>carbochimie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lastRenderedPageBreak/>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54 Tehnologii de fabricare şi prelucrare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541 Tehnologia produselor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541.1 Tehnologia şi managementul alimentaţiei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541.2 Tehnologia produselor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541.3 Tehnologia vinului şi a produselor obţinute prin fermentare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542 Textile, vestimentaţie, încălţăminte şi prelucrarea pieii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542.1 Ingineria produselor textile şi din piele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542.2 Design vestimentar industrial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543 Tehnologia materialelor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543.1 Tehnologia prelucrării lemnului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543.2 Tehnologia produselor din ceramică şi sticlă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543.3 Tehnologia materialelor metalice, plastice şi compozite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543.4 Design şi tehnologii poligrafice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55 Tehnologie chimică şi biotehnologii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551 Tehnologie chimică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551.1 Tehnologie chimică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551.2 Tehnologia produselor cosmetice şi medicinale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551.3 Tehnologie farmaceutică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552 Biotehnologii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180-240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552.1 Biotehnologii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552.2 Biotehnologii industriale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58 Arhitectură şi construcţii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581 Arhitectură şi urbanism***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240-360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581.1 Arhitectură***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581.2 Urbanism şi amenajarea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581.3 Restaurare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581.4 Design interior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582 Construcţii şi inginerie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582.1 Construcţii şi inginerie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582.2 Ingineria materialelor şi articolelor de construcţie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582.3 Inginerie geotehnică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582.4 Căi ferate, drumuri, poduri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582.5 Inginerie antiincendii şi protecţie civilă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582.6 Ingineria şi protecţia apelor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582.7 Ingineria sistemelor de alimentare cu căldură şi gaze, ventilaţie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583 Ingineria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583.1 Ingineria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584 Cadastru şi organizarea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584.1 Cadastru şi organizarea teritoriului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584.2 Geodezie, topografie şi cartografie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584.3 Evaluarea imobilului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 AGRICULTURĂ</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 Ştiinţe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611 Selecţia şi genetica culturilor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611.1 Selecţia şi genetica culturilor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612 Protecţia plantelor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612.1 Protecţia plantelor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613 Agronomie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613.1 Agronomie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614 Zootehnie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614.1 Zootehnie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615 Horticultură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615.1 Horticultură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616 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616.1 Silvicultură şi grădini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617 Viticultură şi vinificaţie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617.1 Viticultură şi vinificaţie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618 Biotehnologii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618.1 Biotehnologii agricole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619 Siguranţa produselor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619.1 Siguranţa produselor alimentare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64 Medicină veterinară***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641 Medicină veterinară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360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641.1 Medicină veterinară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 SERVICII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81 Servicii publice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811 Servicii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811.1 Servicii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812 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812.1 Turism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82 Cultură fizică şi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821 Educaţie fizică şi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821.1 Educaţie fizică şi 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822 Cultură fizică recreativă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822.1 Cultură fizică recreativă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823 Cultură fizică de recuperare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823.1 Cultură fizică de recuperare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824 Dans sportiv şi modern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824.1 Dans sportiv şi modern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84 Servicii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841 Servicii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841.1 Tehnologii de operare în transport (auto, aerian, feroviar, naval)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85 Protecţia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851 Protecţia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851.1 Protecţia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852 Securitate ecologică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852.1 Securitate ecologică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86 Protecţie, pază şi securitate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861 Protecţie, pază şi securitate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861.1 Securitate civilă şi ordinea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862 Servicii de securitate a proprietăţii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862.1 Servicii de securitate a proprietăţii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863 Servicii antiincendii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180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863.1 Servicii antiincendii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87 Militărie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871 Infanterie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871.1 Infanterie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872 Artilerie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872.1 Artilerie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873 Transmisiuni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873.1 Transmisiuni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875 Carabinieri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240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875.1 Carabinieri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p>
        </w:tc>
      </w:tr>
      <w:tr w:rsidR="00D016F9" w:rsidRPr="00D016F9" w:rsidTr="00D016F9">
        <w:trPr>
          <w:jc w:val="center"/>
        </w:trPr>
        <w:tc>
          <w:tcPr>
            <w:tcW w:w="0" w:type="auto"/>
            <w:gridSpan w:val="5"/>
            <w:tcBorders>
              <w:top w:val="single" w:sz="6" w:space="0" w:color="000000"/>
              <w:left w:val="nil"/>
              <w:bottom w:val="nil"/>
              <w:right w:val="nil"/>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xml:space="preserve">* Cifrarea domeniilor s-a efectuat în conformitate cu recomandările ISCED-97 şi Eurostat. </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Se menţionează, după caz, limba şi literatura sau limbile studiate.</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Se organizează studii superioare integrate: licenţă şi masterat,conform reglementărilor speciale din cadrul Uniunii Europene.</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i/>
                <w:iCs/>
                <w:sz w:val="20"/>
                <w:szCs w:val="20"/>
                <w:lang w:eastAsia="ru-RU"/>
              </w:rPr>
              <w:t>Note:</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 Domeniul general de studii este definit prin cunoştinţe şi competenţe generale.</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2. Titlul se conferă în domeniul general de studii, cu următoarele excepţii:</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a) la domeniul 5 "Inginerie, tehnologii de prelucrare, arhitectură şi construcţii", se acordă titlul de "Inginer licenţiat";</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b) la domeniul de formare profesională 552 "Biotehnologii",specialitatea 552.2 "Biotehnologii industriale", se acordă titlul de"Inginer licenţiat";</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c) la domeniul de formare profesională 581 "Arhitectură şi urbanism"se acordă titlul de "Arhitect".</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 Domeniul de formare profesională şi programele de studii (specialităţile) vor fi menţionate în "Supliment la diplomă", care se eliberează gratuit fiecărui absolvent al ciclului I (studii superioare de licenţă).</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4. În domeniile "Arte", "Psihologie", "Medicină veterinară","Medicină", "Farmacie" şi la specialităţile "Limbi moderne","Arhitectură", studiile se organizează numai prin învăţămînt de zi.</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5. În domeniul general de studiu 14 "Ştiinţe ale educaţiei", poate fi realizată, cu acordul Ministerului Educaţiei, Tineretului şi Sportului, instruirea concomitentă în două specialităţi înrudite.</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6. În domeniile de formare profesională 222 "Limbi şi literaturi" şi 223 "Limbi moderne şi clasice" se permite instruirea în paralel la o a doua limbă modernă.</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7. Absolvenţii instituţiilor de învăţămînt superior din alte domenii cu excepţia absolvenţilor domeniului 142 "Ştiinţe ale educaţiei", vor avea dreptul de a activa în învăţămîntul preuniversitar doar după realizarea suplimentară obligatorie a modului de formare psihopedagogică teoretică de 30 de credite şi practică de 30 de credite (în total 60 de credite), cu acordarea calificativului de învăţător/ profesor în învăţămîntul preuniversitar.</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8. Pentru domeniul general de studii 87 "Militărie", la domeniile de formare profesională 871 "Infanterie", 872 "Artilerie", 874 "Grăniceri", 875 "Carabinieri", se permite instruirea concomitentă şi în specialitatea 527.1 "Ingineria şi tehnologia transportului auto", iar la domeniul de formare profesională 873 "Transmisiuni" – în domeniul de formare profesională 525 "Electronică şi comunicaţii".</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9. Numărul de credite de studiu este indicat pentru studenţii admişi la studii în baza diplomei de bacalaureat. Pentru studenţii admişi în baza atestatului de studii medii de cultură generală se organizează un an de completare a studiilor, care nu se cuantifică în credite.</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10. Numărul creditelor de studiu este acelaşi pentru toate formele de învăţămînt: de zi, cu frecvenţă redusă şi de la distanţă.</w:t>
            </w:r>
          </w:p>
        </w:tc>
      </w:tr>
    </w:tbl>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eastAsia="ru-RU"/>
        </w:rPr>
      </w:pPr>
      <w:r w:rsidRPr="00D016F9">
        <w:rPr>
          <w:rFonts w:ascii="Times New Roman" w:eastAsia="Times New Roman" w:hAnsi="Times New Roman" w:cs="Times New Roman"/>
          <w:sz w:val="24"/>
          <w:szCs w:val="24"/>
          <w:lang w:eastAsia="ru-RU"/>
        </w:rPr>
        <w:t xml:space="preserve">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completată prin </w:t>
      </w:r>
      <w:hyperlink r:id="rId6" w:history="1">
        <w:r w:rsidRPr="00D016F9">
          <w:rPr>
            <w:rFonts w:ascii="Times New Roman" w:eastAsia="Times New Roman" w:hAnsi="Times New Roman" w:cs="Times New Roman"/>
            <w:i/>
            <w:iCs/>
            <w:color w:val="0000FF"/>
            <w:sz w:val="20"/>
            <w:szCs w:val="20"/>
            <w:u w:val="single"/>
            <w:lang w:eastAsia="ru-RU"/>
          </w:rPr>
          <w:t>Legea nr.100 din 21.05.2015</w:t>
        </w:r>
      </w:hyperlink>
      <w:r w:rsidRPr="00D016F9">
        <w:rPr>
          <w:rFonts w:ascii="Times New Roman" w:eastAsia="Times New Roman" w:hAnsi="Times New Roman" w:cs="Times New Roman"/>
          <w:i/>
          <w:iCs/>
          <w:color w:val="663300"/>
          <w:sz w:val="20"/>
          <w:szCs w:val="20"/>
          <w:lang w:eastAsia="ru-RU"/>
        </w:rPr>
        <w:t xml:space="preserve">, în vigoare 12.06.2015]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modificată prin </w:t>
      </w:r>
      <w:hyperlink r:id="rId7" w:history="1">
        <w:r w:rsidRPr="00D016F9">
          <w:rPr>
            <w:rFonts w:ascii="Times New Roman" w:eastAsia="Times New Roman" w:hAnsi="Times New Roman" w:cs="Times New Roman"/>
            <w:i/>
            <w:iCs/>
            <w:color w:val="0000FF"/>
            <w:sz w:val="20"/>
            <w:szCs w:val="20"/>
            <w:u w:val="single"/>
            <w:lang w:eastAsia="ru-RU"/>
          </w:rPr>
          <w:t>Legea nr.304 din 26.12.2012</w:t>
        </w:r>
      </w:hyperlink>
      <w:r w:rsidRPr="00D016F9">
        <w:rPr>
          <w:rFonts w:ascii="Times New Roman" w:eastAsia="Times New Roman" w:hAnsi="Times New Roman" w:cs="Times New Roman"/>
          <w:i/>
          <w:iCs/>
          <w:color w:val="663300"/>
          <w:sz w:val="20"/>
          <w:szCs w:val="20"/>
          <w:lang w:eastAsia="ru-RU"/>
        </w:rPr>
        <w:t xml:space="preserve">, în vigoare 01.08.2014]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completată prin </w:t>
      </w:r>
      <w:hyperlink r:id="rId8" w:history="1">
        <w:r w:rsidRPr="00D016F9">
          <w:rPr>
            <w:rFonts w:ascii="Times New Roman" w:eastAsia="Times New Roman" w:hAnsi="Times New Roman" w:cs="Times New Roman"/>
            <w:i/>
            <w:iCs/>
            <w:color w:val="0000FF"/>
            <w:sz w:val="20"/>
            <w:szCs w:val="20"/>
            <w:u w:val="single"/>
            <w:lang w:eastAsia="ru-RU"/>
          </w:rPr>
          <w:t>Legea nr.63 din 11.04.2014</w:t>
        </w:r>
      </w:hyperlink>
      <w:r w:rsidRPr="00D016F9">
        <w:rPr>
          <w:rFonts w:ascii="Times New Roman" w:eastAsia="Times New Roman" w:hAnsi="Times New Roman" w:cs="Times New Roman"/>
          <w:i/>
          <w:iCs/>
          <w:color w:val="663300"/>
          <w:sz w:val="20"/>
          <w:szCs w:val="20"/>
          <w:lang w:eastAsia="ru-RU"/>
        </w:rPr>
        <w:t xml:space="preserve">, în vigoare 01.06.2014]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modificată prin </w:t>
      </w:r>
      <w:hyperlink r:id="rId9" w:history="1">
        <w:r w:rsidRPr="00D016F9">
          <w:rPr>
            <w:rFonts w:ascii="Times New Roman" w:eastAsia="Times New Roman" w:hAnsi="Times New Roman" w:cs="Times New Roman"/>
            <w:i/>
            <w:iCs/>
            <w:color w:val="0000FF"/>
            <w:sz w:val="20"/>
            <w:szCs w:val="20"/>
            <w:u w:val="single"/>
            <w:lang w:eastAsia="ru-RU"/>
          </w:rPr>
          <w:t>Legea nr.156 din 28.06.2013</w:t>
        </w:r>
      </w:hyperlink>
      <w:r w:rsidRPr="00D016F9">
        <w:rPr>
          <w:rFonts w:ascii="Times New Roman" w:eastAsia="Times New Roman" w:hAnsi="Times New Roman" w:cs="Times New Roman"/>
          <w:i/>
          <w:iCs/>
          <w:color w:val="663300"/>
          <w:sz w:val="20"/>
          <w:szCs w:val="20"/>
          <w:lang w:eastAsia="ru-RU"/>
        </w:rPr>
        <w:t xml:space="preserve">, în vigoare 19.07.2013]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completată prin </w:t>
      </w:r>
      <w:hyperlink r:id="rId10" w:history="1">
        <w:r w:rsidRPr="00D016F9">
          <w:rPr>
            <w:rFonts w:ascii="Times New Roman" w:eastAsia="Times New Roman" w:hAnsi="Times New Roman" w:cs="Times New Roman"/>
            <w:i/>
            <w:iCs/>
            <w:color w:val="0000FF"/>
            <w:sz w:val="20"/>
            <w:szCs w:val="20"/>
            <w:u w:val="single"/>
            <w:lang w:eastAsia="ru-RU"/>
          </w:rPr>
          <w:t>Legea nr.304 din 26.12.2012</w:t>
        </w:r>
      </w:hyperlink>
      <w:r w:rsidRPr="00D016F9">
        <w:rPr>
          <w:rFonts w:ascii="Times New Roman" w:eastAsia="Times New Roman" w:hAnsi="Times New Roman" w:cs="Times New Roman"/>
          <w:i/>
          <w:iCs/>
          <w:color w:val="663300"/>
          <w:sz w:val="20"/>
          <w:szCs w:val="20"/>
          <w:lang w:eastAsia="ru-RU"/>
        </w:rPr>
        <w:t xml:space="preserve">, în vigoare 05.03.2013]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modificată prin </w:t>
      </w:r>
      <w:hyperlink r:id="rId11" w:history="1">
        <w:r w:rsidRPr="00D016F9">
          <w:rPr>
            <w:rFonts w:ascii="Times New Roman" w:eastAsia="Times New Roman" w:hAnsi="Times New Roman" w:cs="Times New Roman"/>
            <w:i/>
            <w:iCs/>
            <w:color w:val="0000FF"/>
            <w:sz w:val="20"/>
            <w:szCs w:val="20"/>
            <w:u w:val="single"/>
            <w:lang w:eastAsia="ru-RU"/>
          </w:rPr>
          <w:t>Legea nr.233 din 25.10.2012</w:t>
        </w:r>
      </w:hyperlink>
      <w:r w:rsidRPr="00D016F9">
        <w:rPr>
          <w:rFonts w:ascii="Times New Roman" w:eastAsia="Times New Roman" w:hAnsi="Times New Roman" w:cs="Times New Roman"/>
          <w:i/>
          <w:iCs/>
          <w:color w:val="663300"/>
          <w:sz w:val="20"/>
          <w:szCs w:val="20"/>
          <w:lang w:eastAsia="ru-RU"/>
        </w:rPr>
        <w:t xml:space="preserve">, în vigoare 23.11.2012]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modificată prin </w:t>
      </w:r>
      <w:hyperlink r:id="rId12" w:history="1">
        <w:r w:rsidRPr="00D016F9">
          <w:rPr>
            <w:rFonts w:ascii="Times New Roman" w:eastAsia="Times New Roman" w:hAnsi="Times New Roman" w:cs="Times New Roman"/>
            <w:i/>
            <w:iCs/>
            <w:color w:val="0000FF"/>
            <w:sz w:val="20"/>
            <w:szCs w:val="20"/>
            <w:u w:val="single"/>
            <w:lang w:eastAsia="ru-RU"/>
          </w:rPr>
          <w:t>Legea nr.86 din 13.04.2012</w:t>
        </w:r>
      </w:hyperlink>
      <w:r w:rsidRPr="00D016F9">
        <w:rPr>
          <w:rFonts w:ascii="Times New Roman" w:eastAsia="Times New Roman" w:hAnsi="Times New Roman" w:cs="Times New Roman"/>
          <w:i/>
          <w:iCs/>
          <w:color w:val="663300"/>
          <w:sz w:val="20"/>
          <w:szCs w:val="20"/>
          <w:lang w:eastAsia="ru-RU"/>
        </w:rPr>
        <w:t xml:space="preserve">, în vigoare 15.05.2012]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modificată prin </w:t>
      </w:r>
      <w:hyperlink r:id="rId13" w:history="1">
        <w:r w:rsidRPr="00D016F9">
          <w:rPr>
            <w:rFonts w:ascii="Times New Roman" w:eastAsia="Times New Roman" w:hAnsi="Times New Roman" w:cs="Times New Roman"/>
            <w:i/>
            <w:iCs/>
            <w:color w:val="0000FF"/>
            <w:sz w:val="20"/>
            <w:szCs w:val="20"/>
            <w:u w:val="single"/>
            <w:lang w:eastAsia="ru-RU"/>
          </w:rPr>
          <w:t>Legea nr.178 din 15.07.2010</w:t>
        </w:r>
      </w:hyperlink>
      <w:r w:rsidRPr="00D016F9">
        <w:rPr>
          <w:rFonts w:ascii="Times New Roman" w:eastAsia="Times New Roman" w:hAnsi="Times New Roman" w:cs="Times New Roman"/>
          <w:i/>
          <w:iCs/>
          <w:color w:val="663300"/>
          <w:sz w:val="20"/>
          <w:szCs w:val="20"/>
          <w:lang w:eastAsia="ru-RU"/>
        </w:rPr>
        <w:t xml:space="preserve">, în vigoare 03.08.2010]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completată prin </w:t>
      </w:r>
      <w:hyperlink r:id="rId14" w:history="1">
        <w:r w:rsidRPr="00D016F9">
          <w:rPr>
            <w:rFonts w:ascii="Times New Roman" w:eastAsia="Times New Roman" w:hAnsi="Times New Roman" w:cs="Times New Roman"/>
            <w:i/>
            <w:iCs/>
            <w:color w:val="0000FF"/>
            <w:sz w:val="20"/>
            <w:szCs w:val="20"/>
            <w:u w:val="single"/>
            <w:lang w:eastAsia="ru-RU"/>
          </w:rPr>
          <w:t>Legea nr.70-XVI din 28.03.2008</w:t>
        </w:r>
      </w:hyperlink>
      <w:r w:rsidRPr="00D016F9">
        <w:rPr>
          <w:rFonts w:ascii="Times New Roman" w:eastAsia="Times New Roman" w:hAnsi="Times New Roman" w:cs="Times New Roman"/>
          <w:i/>
          <w:iCs/>
          <w:color w:val="663300"/>
          <w:sz w:val="20"/>
          <w:szCs w:val="20"/>
          <w:lang w:eastAsia="ru-RU"/>
        </w:rPr>
        <w:t xml:space="preserve">, în vigoare 09.07.2010] </w:t>
      </w:r>
    </w:p>
    <w:p w:rsidR="00D016F9" w:rsidRPr="00D016F9" w:rsidRDefault="00D016F9" w:rsidP="00D016F9">
      <w:pPr>
        <w:spacing w:after="0" w:line="240" w:lineRule="auto"/>
        <w:ind w:firstLine="567"/>
        <w:jc w:val="both"/>
        <w:rPr>
          <w:rFonts w:ascii="Times New Roman" w:eastAsia="Times New Roman" w:hAnsi="Times New Roman" w:cs="Times New Roman"/>
          <w:i/>
          <w:iCs/>
          <w:color w:val="663300"/>
          <w:sz w:val="20"/>
          <w:szCs w:val="20"/>
          <w:lang w:eastAsia="ru-RU"/>
        </w:rPr>
      </w:pPr>
      <w:r w:rsidRPr="00D016F9">
        <w:rPr>
          <w:rFonts w:ascii="Times New Roman" w:eastAsia="Times New Roman" w:hAnsi="Times New Roman" w:cs="Times New Roman"/>
          <w:i/>
          <w:iCs/>
          <w:color w:val="663300"/>
          <w:sz w:val="20"/>
          <w:szCs w:val="20"/>
          <w:lang w:eastAsia="ru-RU"/>
        </w:rPr>
        <w:t xml:space="preserve">[Anexa nr.1 completată prin </w:t>
      </w:r>
      <w:hyperlink r:id="rId15" w:history="1">
        <w:r w:rsidRPr="00D016F9">
          <w:rPr>
            <w:rFonts w:ascii="Times New Roman" w:eastAsia="Times New Roman" w:hAnsi="Times New Roman" w:cs="Times New Roman"/>
            <w:i/>
            <w:iCs/>
            <w:color w:val="0000FF"/>
            <w:sz w:val="20"/>
            <w:szCs w:val="20"/>
            <w:u w:val="single"/>
            <w:lang w:eastAsia="ru-RU"/>
          </w:rPr>
          <w:t>Legea nr.165-XVI din 09.07.2008</w:t>
        </w:r>
      </w:hyperlink>
      <w:r w:rsidRPr="00D016F9">
        <w:rPr>
          <w:rFonts w:ascii="Times New Roman" w:eastAsia="Times New Roman" w:hAnsi="Times New Roman" w:cs="Times New Roman"/>
          <w:i/>
          <w:iCs/>
          <w:color w:val="663300"/>
          <w:sz w:val="20"/>
          <w:szCs w:val="20"/>
          <w:lang w:eastAsia="ru-RU"/>
        </w:rPr>
        <w:t xml:space="preserve">, în vigoare 18.07.2008]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eastAsia="ru-RU"/>
        </w:rPr>
      </w:pPr>
      <w:r w:rsidRPr="00D016F9">
        <w:rPr>
          <w:rFonts w:ascii="Times New Roman" w:eastAsia="Times New Roman" w:hAnsi="Times New Roman" w:cs="Times New Roman"/>
          <w:sz w:val="24"/>
          <w:szCs w:val="24"/>
          <w:lang w:eastAsia="ru-RU"/>
        </w:rPr>
        <w:t> </w:t>
      </w:r>
    </w:p>
    <w:p w:rsidR="00D016F9" w:rsidRPr="00D016F9" w:rsidRDefault="00D016F9" w:rsidP="00D016F9">
      <w:pPr>
        <w:spacing w:after="0" w:line="240" w:lineRule="auto"/>
        <w:ind w:firstLine="567"/>
        <w:jc w:val="both"/>
        <w:rPr>
          <w:rFonts w:ascii="Times New Roman" w:eastAsia="Times New Roman" w:hAnsi="Times New Roman" w:cs="Times New Roman"/>
          <w:sz w:val="24"/>
          <w:szCs w:val="24"/>
          <w:lang w:eastAsia="ru-RU"/>
        </w:rPr>
      </w:pPr>
      <w:r w:rsidRPr="00D016F9">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936"/>
        <w:gridCol w:w="1872"/>
        <w:gridCol w:w="2435"/>
        <w:gridCol w:w="1313"/>
      </w:tblGrid>
      <w:tr w:rsidR="00D016F9" w:rsidRPr="00D016F9" w:rsidTr="00D016F9">
        <w:trPr>
          <w:jc w:val="center"/>
        </w:trPr>
        <w:tc>
          <w:tcPr>
            <w:tcW w:w="0" w:type="auto"/>
            <w:gridSpan w:val="4"/>
            <w:tcBorders>
              <w:top w:val="nil"/>
              <w:left w:val="nil"/>
              <w:bottom w:val="single" w:sz="6" w:space="0" w:color="000000"/>
              <w:right w:val="nil"/>
            </w:tcBorders>
            <w:tcMar>
              <w:top w:w="15" w:type="dxa"/>
              <w:left w:w="45" w:type="dxa"/>
              <w:bottom w:w="15" w:type="dxa"/>
              <w:right w:w="45" w:type="dxa"/>
            </w:tcMar>
            <w:hideMark/>
          </w:tcPr>
          <w:p w:rsidR="00D016F9" w:rsidRPr="00D016F9" w:rsidRDefault="00D016F9" w:rsidP="00D016F9">
            <w:pPr>
              <w:spacing w:after="0" w:line="240" w:lineRule="auto"/>
              <w:jc w:val="right"/>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xml:space="preserve">Anexa nr.2 </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 xml:space="preserve">Nomenclatorul specialităţilor pentru pregătirea cadrelor în instituţiile de învăţămînt superior </w:t>
            </w:r>
          </w:p>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lastRenderedPageBreak/>
              <w:t>la domeniul 7 "Sănătate", reglementat special în cadrul Uniunii Europene</w:t>
            </w:r>
          </w:p>
          <w:p w:rsidR="00D016F9" w:rsidRPr="00D016F9" w:rsidRDefault="00D016F9" w:rsidP="00D016F9">
            <w:pPr>
              <w:spacing w:after="0" w:line="240" w:lineRule="auto"/>
              <w:ind w:firstLine="567"/>
              <w:jc w:val="both"/>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lastRenderedPageBreak/>
              <w:t xml:space="preserve">Codul şi denumirea domeniului </w:t>
            </w:r>
            <w:r w:rsidRPr="00D016F9">
              <w:rPr>
                <w:rFonts w:ascii="Times New Roman" w:eastAsia="Times New Roman" w:hAnsi="Times New Roman" w:cs="Times New Roman"/>
                <w:b/>
                <w:bCs/>
                <w:sz w:val="20"/>
                <w:szCs w:val="20"/>
                <w:lang w:eastAsia="ru-RU"/>
              </w:rPr>
              <w:br/>
              <w:t xml:space="preserve">fundamental al ştiinţei, </w:t>
            </w:r>
            <w:r w:rsidRPr="00D016F9">
              <w:rPr>
                <w:rFonts w:ascii="Times New Roman" w:eastAsia="Times New Roman" w:hAnsi="Times New Roman" w:cs="Times New Roman"/>
                <w:b/>
                <w:bCs/>
                <w:sz w:val="20"/>
                <w:szCs w:val="20"/>
                <w:lang w:eastAsia="ru-RU"/>
              </w:rPr>
              <w:br/>
              <w:t>culturii şi tehnicii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 xml:space="preserve">Codul şi denumirea domeniului </w:t>
            </w:r>
            <w:r w:rsidRPr="00D016F9">
              <w:rPr>
                <w:rFonts w:ascii="Times New Roman" w:eastAsia="Times New Roman" w:hAnsi="Times New Roman" w:cs="Times New Roman"/>
                <w:b/>
                <w:bCs/>
                <w:sz w:val="20"/>
                <w:szCs w:val="20"/>
                <w:lang w:eastAsia="ru-RU"/>
              </w:rPr>
              <w:br/>
              <w:t>general de studiu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 xml:space="preserve">Codul şi denumirea specialităţii/ domeniului </w:t>
            </w:r>
            <w:r w:rsidRPr="00D016F9">
              <w:rPr>
                <w:rFonts w:ascii="Times New Roman" w:eastAsia="Times New Roman" w:hAnsi="Times New Roman" w:cs="Times New Roman"/>
                <w:b/>
                <w:bCs/>
                <w:sz w:val="20"/>
                <w:szCs w:val="20"/>
                <w:lang w:eastAsia="ru-RU"/>
              </w:rPr>
              <w:br/>
              <w:t xml:space="preserve">de formare profesională iniţială </w:t>
            </w:r>
            <w:r w:rsidRPr="00D016F9">
              <w:rPr>
                <w:rFonts w:ascii="Times New Roman" w:eastAsia="Times New Roman" w:hAnsi="Times New Roman" w:cs="Times New Roman"/>
                <w:b/>
                <w:bCs/>
                <w:sz w:val="20"/>
                <w:szCs w:val="20"/>
                <w:lang w:eastAsia="ru-RU"/>
              </w:rPr>
              <w:br/>
              <w:t>(studii superioare de specialitate)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b/>
                <w:bCs/>
                <w:sz w:val="20"/>
                <w:szCs w:val="20"/>
                <w:lang w:eastAsia="ru-RU"/>
              </w:rPr>
            </w:pPr>
            <w:r w:rsidRPr="00D016F9">
              <w:rPr>
                <w:rFonts w:ascii="Times New Roman" w:eastAsia="Times New Roman" w:hAnsi="Times New Roman" w:cs="Times New Roman"/>
                <w:b/>
                <w:bCs/>
                <w:sz w:val="20"/>
                <w:szCs w:val="20"/>
                <w:lang w:eastAsia="ru-RU"/>
              </w:rPr>
              <w:t xml:space="preserve">Numărul creditelor </w:t>
            </w:r>
            <w:r w:rsidRPr="00D016F9">
              <w:rPr>
                <w:rFonts w:ascii="Times New Roman" w:eastAsia="Times New Roman" w:hAnsi="Times New Roman" w:cs="Times New Roman"/>
                <w:b/>
                <w:bCs/>
                <w:sz w:val="20"/>
                <w:szCs w:val="20"/>
                <w:lang w:eastAsia="ru-RU"/>
              </w:rPr>
              <w:br/>
              <w:t>de studiu</w:t>
            </w:r>
          </w:p>
        </w:tc>
      </w:tr>
      <w:tr w:rsidR="00D016F9" w:rsidRPr="00D016F9" w:rsidTr="00D016F9">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7 SĂNĂTATE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71 Medicină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right"/>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711 Medicină generală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712 Stomatologie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300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713 Sănătate publică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300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714 Pediatrie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360</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b/>
                <w:bCs/>
                <w:sz w:val="20"/>
                <w:szCs w:val="20"/>
                <w:lang w:eastAsia="ru-RU"/>
              </w:rPr>
              <w:t>72 Farmacie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right"/>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 </w:t>
            </w:r>
          </w:p>
        </w:tc>
      </w:tr>
      <w:tr w:rsidR="00D016F9" w:rsidRPr="00D016F9" w:rsidTr="00D016F9">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721 Farmacie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016F9" w:rsidRPr="00D016F9" w:rsidRDefault="00D016F9" w:rsidP="00D016F9">
            <w:pPr>
              <w:spacing w:after="0" w:line="240" w:lineRule="auto"/>
              <w:jc w:val="center"/>
              <w:rPr>
                <w:rFonts w:ascii="Times New Roman" w:eastAsia="Times New Roman" w:hAnsi="Times New Roman" w:cs="Times New Roman"/>
                <w:sz w:val="20"/>
                <w:szCs w:val="20"/>
                <w:lang w:eastAsia="ru-RU"/>
              </w:rPr>
            </w:pPr>
            <w:r w:rsidRPr="00D016F9">
              <w:rPr>
                <w:rFonts w:ascii="Times New Roman" w:eastAsia="Times New Roman" w:hAnsi="Times New Roman" w:cs="Times New Roman"/>
                <w:sz w:val="20"/>
                <w:szCs w:val="20"/>
                <w:lang w:eastAsia="ru-RU"/>
              </w:rPr>
              <w:t>300</w:t>
            </w:r>
          </w:p>
        </w:tc>
      </w:tr>
    </w:tbl>
    <w:p w:rsidR="00503E77" w:rsidRPr="00D016F9" w:rsidRDefault="00D016F9">
      <w:pPr>
        <w:rPr>
          <w:lang w:val="en-US"/>
        </w:rPr>
      </w:pPr>
      <w:r w:rsidRPr="00D016F9">
        <w:rPr>
          <w:rFonts w:ascii="Tahoma" w:eastAsia="Times New Roman" w:hAnsi="Tahoma" w:cs="Tahoma"/>
          <w:sz w:val="18"/>
          <w:szCs w:val="18"/>
          <w:lang w:val="en-US" w:eastAsia="ru-RU"/>
        </w:rPr>
        <w:br/>
        <w:t>__________</w:t>
      </w:r>
      <w:r w:rsidRPr="00D016F9">
        <w:rPr>
          <w:rFonts w:ascii="Tahoma" w:eastAsia="Times New Roman" w:hAnsi="Tahoma" w:cs="Tahoma"/>
          <w:sz w:val="18"/>
          <w:szCs w:val="18"/>
          <w:lang w:val="en-US" w:eastAsia="ru-RU"/>
        </w:rPr>
        <w:br/>
        <w:t>Legile Republicii Moldova</w:t>
      </w:r>
      <w:r w:rsidRPr="00D016F9">
        <w:rPr>
          <w:rFonts w:ascii="Tahoma" w:eastAsia="Times New Roman" w:hAnsi="Tahoma" w:cs="Tahoma"/>
          <w:sz w:val="18"/>
          <w:szCs w:val="18"/>
          <w:lang w:val="en-US" w:eastAsia="ru-RU"/>
        </w:rPr>
        <w:br/>
        <w:t xml:space="preserve">142/07.07.2005 Lege privind aprobarea Nomenclatorului domeniilor de formare profesională şi al specialităţilor pentru pregătirea cadrelor în instituţiile de învăţămînt superior, ciclul I </w:t>
      </w:r>
      <w:r w:rsidRPr="00D016F9">
        <w:rPr>
          <w:rFonts w:ascii="Tahoma" w:eastAsia="Times New Roman" w:hAnsi="Tahoma" w:cs="Tahoma"/>
          <w:i/>
          <w:iCs/>
          <w:sz w:val="18"/>
          <w:szCs w:val="18"/>
          <w:lang w:val="en-US" w:eastAsia="ru-RU"/>
        </w:rPr>
        <w:t>//Monitorul Oficial 101-103/476, 29.07.2005</w:t>
      </w:r>
    </w:p>
    <w:sectPr w:rsidR="00503E77" w:rsidRPr="00D016F9" w:rsidSect="00503E7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16F9"/>
    <w:rsid w:val="00503E77"/>
    <w:rsid w:val="00D01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6F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D016F9"/>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D016F9"/>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016F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016F9"/>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016F9"/>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016F9"/>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016F9"/>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016F9"/>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016F9"/>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016F9"/>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016F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016F9"/>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016F9"/>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016F9"/>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16F9"/>
    <w:rPr>
      <w:color w:val="0000FF"/>
      <w:u w:val="single"/>
    </w:rPr>
  </w:style>
  <w:style w:type="character" w:styleId="a5">
    <w:name w:val="FollowedHyperlink"/>
    <w:basedOn w:val="a0"/>
    <w:uiPriority w:val="99"/>
    <w:semiHidden/>
    <w:unhideWhenUsed/>
    <w:rsid w:val="00D016F9"/>
    <w:rPr>
      <w:color w:val="800080"/>
      <w:u w:val="single"/>
    </w:rPr>
  </w:style>
  <w:style w:type="paragraph" w:styleId="a6">
    <w:name w:val="Balloon Text"/>
    <w:basedOn w:val="a"/>
    <w:link w:val="a7"/>
    <w:uiPriority w:val="99"/>
    <w:semiHidden/>
    <w:unhideWhenUsed/>
    <w:rsid w:val="00D016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6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XT=LPLP2014041163" TargetMode="External"/><Relationship Id="rId13" Type="http://schemas.openxmlformats.org/officeDocument/2006/relationships/hyperlink" Target="TEXT=LPLP20100715178" TargetMode="External"/><Relationship Id="rId3" Type="http://schemas.openxmlformats.org/officeDocument/2006/relationships/webSettings" Target="webSettings.xml"/><Relationship Id="rId7" Type="http://schemas.openxmlformats.org/officeDocument/2006/relationships/hyperlink" Target="TEXT=LPLP20121226304" TargetMode="External"/><Relationship Id="rId12" Type="http://schemas.openxmlformats.org/officeDocument/2006/relationships/hyperlink" Target="TEXT=LPLP201204138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XT=LPLP20150521100" TargetMode="External"/><Relationship Id="rId11" Type="http://schemas.openxmlformats.org/officeDocument/2006/relationships/hyperlink" Target="TEXT=LPLP20121025233" TargetMode="External"/><Relationship Id="rId5" Type="http://schemas.openxmlformats.org/officeDocument/2006/relationships/hyperlink" Target="TEXT=LPLP200006221070" TargetMode="External"/><Relationship Id="rId15" Type="http://schemas.openxmlformats.org/officeDocument/2006/relationships/hyperlink" Target="TEXT=LPLP20080709165" TargetMode="External"/><Relationship Id="rId10" Type="http://schemas.openxmlformats.org/officeDocument/2006/relationships/hyperlink" Target="TEXT=LPLP20121226304" TargetMode="External"/><Relationship Id="rId4" Type="http://schemas.openxmlformats.org/officeDocument/2006/relationships/image" Target="media/image1.gif"/><Relationship Id="rId9" Type="http://schemas.openxmlformats.org/officeDocument/2006/relationships/hyperlink" Target="TEXT=LPLP20130628156" TargetMode="External"/><Relationship Id="rId14" Type="http://schemas.openxmlformats.org/officeDocument/2006/relationships/hyperlink" Target="TEXT=LPLP2008032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2792</Words>
  <Characters>15921</Characters>
  <Application>Microsoft Office Word</Application>
  <DocSecurity>0</DocSecurity>
  <Lines>132</Lines>
  <Paragraphs>37</Paragraphs>
  <ScaleCrop>false</ScaleCrop>
  <Company>Reanimator Extreme Edition</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2015-07-22T11:26:00Z</dcterms:created>
  <dcterms:modified xsi:type="dcterms:W3CDTF">2015-07-22T11:26:00Z</dcterms:modified>
</cp:coreProperties>
</file>